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1.苏银理财恒源灵动最短持有7天9号F(J04572)新增销售机构浙江温州瓯海农村商业银行股份有限公司。</w:t>
        <w:cr/>
        <w:t xml:space="preserve">	2.苏银理财恒源鑫安最短持有180天D(J07281)新增销售机构浙江温岭农村商业银行股份有限公司、浙江上虞农村商业银行股份有限公司。</w:t>
        <w:cr/>
        <w:t xml:space="preserve">	3.苏银理财恒源鑫泰最短持有30天B(J07442)新增销售机构江西银行股份有限公司。</w:t>
        <w:cr/>
        <w:t xml:space="preserve">	4.苏银理财恒源鑫泰最短持有360天B(J07615)新增销售机构九江银行股份有限公司。</w:t>
        <w:cr/>
        <w:t xml:space="preserve">	5.苏银理财恒源鑫裕（固收增强）最短持有360天G(J11159)新增销售机构浙江上虞农村商业银行股份有限公司。</w:t>
        <w:cr/>
        <w:t xml:space="preserve">	6.苏银理财启源货币2号（ESG主题）J(J03645)新增销售机构江西银行股份有限公司。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