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幸福99添益（安享优选）7天持有期8期理财E款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幸福99添益（安享优选）7天持有期8期理财E款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TYGC7D2508E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0.60%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2025年12月25日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