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幸福99丰裕固收762天24041期理财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幸福99丰裕固收762天24041期理财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FYG24041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Z7002224000052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2024年2月29日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2026年4月1日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1,127,362,087.18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1,127,362,087.18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1,112,884,698.00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1.0130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1.0130</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丰裕固收24041期A款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FYG24041A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108,149,653.37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丰裕固收24041期B款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FYG24041B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309,541,895.09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丰裕固收24041期C款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FYG24041C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650,503,350.28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丰裕固收24041期D款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FYG24041D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59,167,188.44</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丰裕固收24041期A款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4.95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丰裕固收24041期B款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5.19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丰裕固收24041期C款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5.07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丰裕固收24041期D款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4.95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3.77</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26.67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26.67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47.85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25.16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66.06</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粤财信托·常华36号宣城城建信托贷款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253,753,339.97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22.51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光大信托-路桥国发信托贷款2401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110,035,553.87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9.76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95,071,269.00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光大信托·浙兴34号新昌交通信托计划-2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81,070,725.88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鹏华丰享债券型证券投资基金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71,141,605.28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23锡藕02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61,815,158.91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21柯城01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40,419,326.03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23阳江02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32,280,780.82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22余姚高铁PPN001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30,896,500.00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无</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25,914,709.23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2.30</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兰溪市兰创投资集团有限公司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95,071,269.00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台州市路桥国有资产发展集团有限公司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光大信托-路桥国发信托贷款2401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110,035,553.87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宣城市城市建设集团有限公司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粤财信托·常华36号宣城城建信托贷款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2026-03-15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253,753,339.97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新昌县交通投资集团有限公司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光大信托·浙兴34号新昌交通信托计划-2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81,070,725.88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1,112,884,698.00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1,112,884,698.00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幸福99丰裕固收762天24041期理财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3301040160015309811-5124041</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