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幸福99丰裕固收762天24031期理财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幸福99丰裕固收762天24031期理财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FYG24031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Z7002224000041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2024年2月8日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2026年3月11日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538,274,240.95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100.16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538,274,240.95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530,021,260.00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1.0156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1.0156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丰裕固收24031期A款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FYG24031A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1.0149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76,159,893.50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丰裕固收24031期B款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FYG24031B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233,623,094.75</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丰裕固收24031期C款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180,104,395.96</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丰裕固收24031期D款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FYG24031D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48,386,856.74</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丰裕固收24031期A款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3.80</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丰裕固收24031期B款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4.33</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4.89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4.06</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丰裕固收24031期C款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4.21</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3.96</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丰裕固收24031期D款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4.21</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0.23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0.28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35.07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38.23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47.07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10.58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14.35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54.12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光信·光鑫·浙兴47号绍兴科创信托计划-1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126,048,896.05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光大信托·江南祥瑞5号诸暨建设信托计划-2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98,975,805.50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鹏华丰享债券型证券投资基金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51,004,358.46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23众鑫01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41,545,408.22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7.72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22建城01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40,315,698.63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23先行控股MTN003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30,860,728.77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光信·光鑫·江南祥瑞15号兰溪兰创信托计划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30,022,506.00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5.58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22当涂01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21,594,175.34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23连云城建MTN001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20,644,958.90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22双江01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12,646,915.07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2.35</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兰溪市兰创投资集团有限公司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光信·光鑫·江南祥瑞15号兰溪兰创信托计划</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30,022,506.00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绍兴市科技创业投资有限公司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光信·光鑫·浙兴47号绍兴科创信托计划-1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126,048,896.05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光大信托·江南祥瑞5号诸暨建设信托计划-2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2026-03-06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98,975,805.50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粤财信托·常华27号诸暨建设专项债权计划-1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2026-02-26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959,735.35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530,021,260.00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530,021,260.00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幸福99丰裕固收762天24031期理财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3301040160015309811-5124031</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